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ECC56" w14:textId="77777777" w:rsidR="00D32343" w:rsidRPr="001656DD" w:rsidRDefault="00D32343" w:rsidP="00083857">
      <w:pPr>
        <w:pStyle w:val="Heading2"/>
        <w:jc w:val="right"/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ro-RO"/>
        </w:rPr>
      </w:pPr>
      <w:bookmarkStart w:id="0" w:name="_Toc435686842"/>
      <w:r w:rsidRPr="001656DD"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ro-RO"/>
        </w:rPr>
        <w:t xml:space="preserve">Anexa </w:t>
      </w:r>
      <w:r w:rsidR="007901C1" w:rsidRPr="001656DD"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ro-RO"/>
        </w:rPr>
        <w:t>1</w:t>
      </w:r>
      <w:r w:rsidRPr="001656DD"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ro-RO"/>
        </w:rPr>
        <w:t xml:space="preserve"> – </w:t>
      </w:r>
      <w:r w:rsidR="005433EF" w:rsidRPr="001656DD"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ro-RO"/>
        </w:rPr>
        <w:t>Grila de verificare</w:t>
      </w:r>
      <w:r w:rsidRPr="001656DD"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ro-RO"/>
        </w:rPr>
        <w:t xml:space="preserve"> a conformității administrative și a eligibilității</w:t>
      </w:r>
      <w:bookmarkEnd w:id="0"/>
      <w:r w:rsidRPr="001656DD"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ro-RO"/>
        </w:rPr>
        <w:t xml:space="preserve"> </w:t>
      </w:r>
    </w:p>
    <w:p w14:paraId="3381D6AF" w14:textId="77777777" w:rsidR="00D32343" w:rsidRPr="001656DD" w:rsidRDefault="00D32343" w:rsidP="00F81309">
      <w:pPr>
        <w:pStyle w:val="Heading4"/>
        <w:rPr>
          <w:rFonts w:ascii="Trebuchet MS" w:hAnsi="Trebuchet MS" w:cs="Arial"/>
          <w:color w:val="0F243E" w:themeColor="text2" w:themeShade="80"/>
          <w:sz w:val="22"/>
          <w:szCs w:val="22"/>
          <w:lang w:val="ro-RO"/>
        </w:rPr>
      </w:pPr>
      <w:bookmarkStart w:id="1" w:name="_Toc435686843"/>
      <w:r w:rsidRPr="001656DD">
        <w:rPr>
          <w:rFonts w:ascii="Trebuchet MS" w:eastAsia="MS Gothic" w:hAnsi="Trebuchet MS" w:cs="Arial"/>
          <w:color w:val="0F243E" w:themeColor="text2" w:themeShade="80"/>
          <w:kern w:val="28"/>
          <w:sz w:val="22"/>
          <w:szCs w:val="22"/>
          <w:lang w:val="ro-RO"/>
        </w:rPr>
        <w:t xml:space="preserve">A1. Criterii de verificare  a conformității </w:t>
      </w:r>
      <w:r w:rsidRPr="001656DD">
        <w:rPr>
          <w:rFonts w:ascii="Trebuchet MS" w:hAnsi="Trebuchet MS" w:cs="Arial"/>
          <w:color w:val="0F243E" w:themeColor="text2" w:themeShade="80"/>
          <w:sz w:val="22"/>
          <w:szCs w:val="22"/>
          <w:lang w:val="ro-RO"/>
        </w:rPr>
        <w:t>administrative</w:t>
      </w:r>
      <w:bookmarkEnd w:id="1"/>
      <w:r w:rsidRPr="001656DD">
        <w:rPr>
          <w:rFonts w:ascii="Trebuchet MS" w:hAnsi="Trebuchet MS" w:cs="Arial"/>
          <w:color w:val="0F243E" w:themeColor="text2" w:themeShade="80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"/>
        <w:gridCol w:w="3191"/>
        <w:gridCol w:w="4371"/>
        <w:gridCol w:w="5763"/>
      </w:tblGrid>
      <w:tr w:rsidR="001656DD" w:rsidRPr="001656DD" w14:paraId="3C7AFC71" w14:textId="77777777" w:rsidTr="007D2F0B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14:paraId="1715D071" w14:textId="77777777" w:rsidR="00D32343" w:rsidRPr="001656DD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14:paraId="3AEA42DD" w14:textId="77777777" w:rsidR="00D32343" w:rsidRPr="001656DD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567" w:type="pct"/>
            <w:shd w:val="clear" w:color="auto" w:fill="DBE5F1"/>
            <w:vAlign w:val="center"/>
          </w:tcPr>
          <w:p w14:paraId="4813DA86" w14:textId="77777777" w:rsidR="00D32343" w:rsidRPr="001656DD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 xml:space="preserve">Subcriterii prelucrate automat de </w:t>
            </w:r>
            <w:proofErr w:type="spellStart"/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>cãtre</w:t>
            </w:r>
            <w:proofErr w:type="spellEnd"/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2066" w:type="pct"/>
            <w:shd w:val="clear" w:color="auto" w:fill="DBE5F1"/>
            <w:vAlign w:val="center"/>
          </w:tcPr>
          <w:p w14:paraId="3CB31009" w14:textId="77777777" w:rsidR="00D32343" w:rsidRPr="001656DD" w:rsidRDefault="00D32343" w:rsidP="00172B35">
            <w:pPr>
              <w:spacing w:line="276" w:lineRule="auto"/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1656DD" w:rsidRPr="001656DD" w14:paraId="527C37DB" w14:textId="77777777" w:rsidTr="007D2F0B">
        <w:tc>
          <w:tcPr>
            <w:tcW w:w="223" w:type="pct"/>
            <w:vAlign w:val="center"/>
          </w:tcPr>
          <w:p w14:paraId="5533465A" w14:textId="77777777" w:rsidR="00D32343" w:rsidRPr="001656DD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bCs/>
                <w:color w:val="0F243E" w:themeColor="text2" w:themeShade="80"/>
                <w:sz w:val="22"/>
                <w:szCs w:val="22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14:paraId="2B1ED997" w14:textId="77777777" w:rsidR="00B62250" w:rsidRPr="001656DD" w:rsidRDefault="00B62250" w:rsidP="00B62250">
            <w:pPr>
              <w:jc w:val="both"/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eastAsia="Calibri" w:hAnsi="Trebuchet MS" w:cs="Arial"/>
                <w:bCs/>
                <w:color w:val="0F243E" w:themeColor="text2" w:themeShade="80"/>
                <w:sz w:val="22"/>
                <w:szCs w:val="22"/>
                <w:lang w:val="ro-RO"/>
              </w:rPr>
              <w:t xml:space="preserve">Cererea de finanțare conține toate </w:t>
            </w:r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anexele solicitate </w:t>
            </w:r>
            <w:r w:rsidRPr="001656DD"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specifice?</w:t>
            </w:r>
          </w:p>
          <w:p w14:paraId="598E4919" w14:textId="77777777" w:rsidR="00D32343" w:rsidRPr="001656DD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vAlign w:val="center"/>
          </w:tcPr>
          <w:p w14:paraId="42973CB7" w14:textId="77777777" w:rsidR="00B62250" w:rsidRPr="001656DD" w:rsidRDefault="00B62250" w:rsidP="00B6225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Cererea de finanțare este însoțită de toate anexele solicitate in Orientări privind accesarea finanțărilor în cadrul Programului Operațional Capital Uman 2014-2020 si de Ghidul Solicitantului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Conditii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Specifice.</w:t>
            </w:r>
          </w:p>
          <w:p w14:paraId="3F012341" w14:textId="77777777" w:rsidR="007D2F0B" w:rsidRPr="001656DD" w:rsidRDefault="007D2F0B" w:rsidP="00B6225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Totodată, se verifică existenta acordului de parteneriat, în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situaia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în care proiectul se implementează în parteneriat, care trebuie să respecte, respectă formatul indicat prin Ghidul Solicitantului -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Condiii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Specifice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şi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este asumat de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catre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reprezentantii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legali sau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imputernicitii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partenerilor.</w:t>
            </w:r>
          </w:p>
          <w:p w14:paraId="29B2483C" w14:textId="77777777" w:rsidR="00D32343" w:rsidRPr="001656DD" w:rsidRDefault="00D32343" w:rsidP="0074306D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2066" w:type="pct"/>
          </w:tcPr>
          <w:p w14:paraId="3789F48C" w14:textId="7143AE0F" w:rsidR="002950E5" w:rsidRPr="001656DD" w:rsidRDefault="002950E5" w:rsidP="002950E5">
            <w:pPr>
              <w:pStyle w:val="ListParagraph"/>
              <w:spacing w:before="120"/>
              <w:ind w:left="0" w:hanging="18"/>
              <w:rPr>
                <w:rFonts w:cs="Arial"/>
                <w:color w:val="0F243E" w:themeColor="text2" w:themeShade="80"/>
                <w:sz w:val="22"/>
                <w:szCs w:val="22"/>
                <w:lang w:val="ro-RO" w:eastAsia="ro-RO"/>
              </w:rPr>
            </w:pPr>
            <w:r w:rsidRPr="001656DD">
              <w:rPr>
                <w:rFonts w:cs="Arial"/>
                <w:color w:val="0F243E" w:themeColor="text2" w:themeShade="80"/>
                <w:sz w:val="22"/>
                <w:szCs w:val="22"/>
                <w:lang w:val="ro-RO" w:eastAsia="ro-RO"/>
              </w:rPr>
              <w:t xml:space="preserve">Documente </w:t>
            </w:r>
            <w:proofErr w:type="spellStart"/>
            <w:r w:rsidRPr="001656DD">
              <w:rPr>
                <w:rFonts w:cs="Arial"/>
                <w:color w:val="0F243E" w:themeColor="text2" w:themeShade="80"/>
                <w:sz w:val="22"/>
                <w:szCs w:val="22"/>
                <w:lang w:val="ro-RO" w:eastAsia="ro-RO"/>
              </w:rPr>
              <w:t>încarcate</w:t>
            </w:r>
            <w:proofErr w:type="spellEnd"/>
            <w:r w:rsidRPr="001656DD">
              <w:rPr>
                <w:rFonts w:cs="Arial"/>
                <w:color w:val="0F243E" w:themeColor="text2" w:themeShade="80"/>
                <w:sz w:val="22"/>
                <w:szCs w:val="22"/>
                <w:lang w:val="ro-RO" w:eastAsia="ro-RO"/>
              </w:rPr>
              <w:t xml:space="preserve">  de solicitant în sistemul </w:t>
            </w:r>
            <w:proofErr w:type="spellStart"/>
            <w:r w:rsidRPr="001656DD">
              <w:rPr>
                <w:rFonts w:cs="Arial"/>
                <w:color w:val="0F243E" w:themeColor="text2" w:themeShade="80"/>
                <w:sz w:val="22"/>
                <w:szCs w:val="22"/>
                <w:lang w:val="ro-RO" w:eastAsia="ro-RO"/>
              </w:rPr>
              <w:t>mySMIS</w:t>
            </w:r>
            <w:proofErr w:type="spellEnd"/>
          </w:p>
          <w:p w14:paraId="13DC5808" w14:textId="50703FEC" w:rsidR="00FC6C3B" w:rsidRPr="001656DD" w:rsidRDefault="00FC6C3B" w:rsidP="00FC6C3B">
            <w:pPr>
              <w:pStyle w:val="ListParagraph"/>
              <w:spacing w:before="120"/>
              <w:ind w:hanging="18"/>
              <w:rPr>
                <w:rFonts w:cs="Arial"/>
                <w:color w:val="0F243E" w:themeColor="text2" w:themeShade="80"/>
                <w:sz w:val="22"/>
                <w:szCs w:val="22"/>
                <w:lang w:val="ro-RO" w:eastAsia="ro-RO"/>
              </w:rPr>
            </w:pPr>
          </w:p>
          <w:p w14:paraId="1644098C" w14:textId="025BB932" w:rsidR="00FC6C3B" w:rsidRPr="001656DD" w:rsidRDefault="00FC6C3B" w:rsidP="001656DD">
            <w:pPr>
              <w:pStyle w:val="ListParagraph"/>
              <w:spacing w:before="120"/>
              <w:ind w:left="70" w:hanging="18"/>
              <w:rPr>
                <w:rFonts w:cs="Arial"/>
                <w:color w:val="0F243E" w:themeColor="text2" w:themeShade="80"/>
                <w:sz w:val="22"/>
                <w:szCs w:val="22"/>
                <w:lang w:val="ro-RO" w:eastAsia="ro-RO"/>
              </w:rPr>
            </w:pPr>
            <w:r w:rsidRPr="001656DD">
              <w:rPr>
                <w:color w:val="0F243E" w:themeColor="text2" w:themeShade="80"/>
              </w:rPr>
              <w:t xml:space="preserve"> </w:t>
            </w:r>
            <w:r w:rsidRPr="001656DD">
              <w:rPr>
                <w:rFonts w:cs="Arial"/>
                <w:color w:val="0F243E" w:themeColor="text2" w:themeShade="80"/>
                <w:sz w:val="22"/>
                <w:szCs w:val="22"/>
                <w:lang w:val="ro-RO" w:eastAsia="ro-RO"/>
              </w:rPr>
              <w:t>1. Documentul Unic pentru verificarea Conformității Administrative și a Eligibilității (DUCAE) pentru Solicitant/Lider - Anexa nr. 2 la Orientări privind accesarea finanțărilor în cadrul Programului Operațional Capital Uman 2014-2020, cu modificările și completările ulterioare</w:t>
            </w:r>
          </w:p>
          <w:p w14:paraId="05957A29" w14:textId="0E1CC3C9" w:rsidR="00D32343" w:rsidRPr="001656DD" w:rsidRDefault="00FC6C3B" w:rsidP="001656DD">
            <w:pPr>
              <w:pStyle w:val="ListParagraph"/>
              <w:spacing w:before="120"/>
              <w:ind w:left="0" w:hanging="18"/>
              <w:rPr>
                <w:rFonts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cs="Arial"/>
                <w:color w:val="0F243E" w:themeColor="text2" w:themeShade="80"/>
                <w:sz w:val="22"/>
                <w:szCs w:val="22"/>
                <w:lang w:val="ro-RO" w:eastAsia="ro-RO"/>
              </w:rPr>
              <w:t>Se verifica daca aceste documente exista si daca respecta condițiile de forma si fond prevăzute in documentul Orientări privind accesarea finanțărilor în cadrul POCU 2014-2020.</w:t>
            </w:r>
          </w:p>
        </w:tc>
      </w:tr>
      <w:tr w:rsidR="001656DD" w:rsidRPr="001656DD" w14:paraId="40587669" w14:textId="77777777" w:rsidTr="007D2F0B">
        <w:tc>
          <w:tcPr>
            <w:tcW w:w="223" w:type="pct"/>
            <w:vAlign w:val="center"/>
          </w:tcPr>
          <w:p w14:paraId="0277B8E9" w14:textId="77777777" w:rsidR="00D32343" w:rsidRPr="001656DD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2.</w:t>
            </w:r>
          </w:p>
        </w:tc>
        <w:tc>
          <w:tcPr>
            <w:tcW w:w="1144" w:type="pct"/>
            <w:vAlign w:val="center"/>
          </w:tcPr>
          <w:p w14:paraId="45FD68C8" w14:textId="77777777" w:rsidR="00D32343" w:rsidRPr="001656DD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Cererea de finanțare este semnat</w:t>
            </w:r>
            <w:r w:rsidR="00FC6CB9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ă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de c</w:t>
            </w:r>
            <w:r w:rsidR="00FC6CB9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ă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tre reprezentantul legal</w:t>
            </w:r>
            <w:r w:rsidR="004D6B6A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sau de împuternicitul acestuia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?</w:t>
            </w:r>
          </w:p>
        </w:tc>
        <w:tc>
          <w:tcPr>
            <w:tcW w:w="1567" w:type="pct"/>
            <w:vAlign w:val="center"/>
          </w:tcPr>
          <w:p w14:paraId="25A9ABF5" w14:textId="77777777" w:rsidR="00D32343" w:rsidRPr="001656DD" w:rsidRDefault="00D32343" w:rsidP="00FC6CB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Se verific</w:t>
            </w:r>
            <w:r w:rsidR="00FC6CB9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ă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dac</w:t>
            </w:r>
            <w:r w:rsidR="00FC6CB9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ă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066" w:type="pct"/>
          </w:tcPr>
          <w:p w14:paraId="7936A4AD" w14:textId="77777777" w:rsidR="00D32343" w:rsidRPr="001656DD" w:rsidRDefault="00D32343" w:rsidP="00172B3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</w:tbl>
    <w:p w14:paraId="1CC373D6" w14:textId="77777777" w:rsidR="00D32343" w:rsidRPr="001656DD" w:rsidRDefault="00D32343" w:rsidP="00F81309">
      <w:pPr>
        <w:pStyle w:val="Heading4"/>
        <w:rPr>
          <w:rFonts w:ascii="Trebuchet MS" w:eastAsia="MS Gothic" w:hAnsi="Trebuchet MS" w:cs="Arial"/>
          <w:color w:val="0F243E" w:themeColor="text2" w:themeShade="80"/>
          <w:kern w:val="28"/>
          <w:sz w:val="22"/>
          <w:szCs w:val="22"/>
          <w:lang w:val="ro-RO"/>
        </w:rPr>
      </w:pPr>
      <w:bookmarkStart w:id="2" w:name="_Toc435686844"/>
      <w:r w:rsidRPr="001656DD">
        <w:rPr>
          <w:rFonts w:ascii="Trebuchet MS" w:eastAsia="MS Gothic" w:hAnsi="Trebuchet MS" w:cs="Arial"/>
          <w:color w:val="0F243E" w:themeColor="text2" w:themeShade="80"/>
          <w:kern w:val="28"/>
          <w:sz w:val="22"/>
          <w:szCs w:val="22"/>
          <w:lang w:val="ro-RO"/>
        </w:rPr>
        <w:t>A2. Criterii de verificare 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3"/>
        <w:gridCol w:w="4125"/>
        <w:gridCol w:w="3347"/>
        <w:gridCol w:w="5902"/>
      </w:tblGrid>
      <w:tr w:rsidR="001656DD" w:rsidRPr="001656DD" w14:paraId="47F6DF90" w14:textId="77777777" w:rsidTr="007D2F0B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14:paraId="113F9C7B" w14:textId="77777777" w:rsidR="00D32343" w:rsidRPr="001656DD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14:paraId="5062D5F4" w14:textId="77777777" w:rsidR="00D32343" w:rsidRPr="001656DD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188" w:type="pct"/>
            <w:shd w:val="clear" w:color="auto" w:fill="BFBFBF"/>
            <w:vAlign w:val="center"/>
          </w:tcPr>
          <w:p w14:paraId="7AB6BF1D" w14:textId="77777777" w:rsidR="00D32343" w:rsidRPr="001656DD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 xml:space="preserve">Subcriterii prelucrate automat de </w:t>
            </w:r>
            <w:r w:rsidR="005C2D54"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>către</w:t>
            </w:r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2095" w:type="pct"/>
            <w:shd w:val="clear" w:color="auto" w:fill="BFBFBF"/>
            <w:vAlign w:val="center"/>
          </w:tcPr>
          <w:p w14:paraId="4FCEB4B2" w14:textId="77777777" w:rsidR="00D32343" w:rsidRPr="001656DD" w:rsidRDefault="00D32343" w:rsidP="00172B35">
            <w:pPr>
              <w:spacing w:line="276" w:lineRule="auto"/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1656DD" w:rsidRPr="001656DD" w14:paraId="1801DA85" w14:textId="77777777" w:rsidTr="007D2F0B">
        <w:trPr>
          <w:trHeight w:val="375"/>
        </w:trPr>
        <w:tc>
          <w:tcPr>
            <w:tcW w:w="2905" w:type="pct"/>
            <w:gridSpan w:val="3"/>
            <w:vAlign w:val="center"/>
          </w:tcPr>
          <w:p w14:paraId="64EB7B6A" w14:textId="77777777" w:rsidR="00D32343" w:rsidRPr="001656DD" w:rsidRDefault="00D32343" w:rsidP="00A9504D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b/>
                <w:i/>
                <w:color w:val="0F243E" w:themeColor="text2" w:themeShade="80"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2095" w:type="pct"/>
          </w:tcPr>
          <w:p w14:paraId="38EA851F" w14:textId="77777777" w:rsidR="00D32343" w:rsidRPr="001656DD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1656DD" w:rsidRPr="001656DD" w14:paraId="41866774" w14:textId="77777777" w:rsidTr="007D2F0B">
        <w:tc>
          <w:tcPr>
            <w:tcW w:w="253" w:type="pct"/>
            <w:vAlign w:val="center"/>
          </w:tcPr>
          <w:p w14:paraId="1A28D525" w14:textId="77777777" w:rsidR="00D32343" w:rsidRPr="001656DD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lastRenderedPageBreak/>
              <w:t>3</w:t>
            </w:r>
          </w:p>
        </w:tc>
        <w:tc>
          <w:tcPr>
            <w:tcW w:w="1464" w:type="pct"/>
            <w:vAlign w:val="center"/>
          </w:tcPr>
          <w:p w14:paraId="2B85A217" w14:textId="77777777" w:rsidR="00D32343" w:rsidRPr="001656DD" w:rsidRDefault="00D32343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Solicitantul</w:t>
            </w:r>
            <w:r w:rsidR="007D2F0B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si partenerii, daca este cazul,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fac parte din categoria de beneficiari eligibili și îndepline</w:t>
            </w:r>
            <w:r w:rsidR="007D2F0B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sc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condițiile stabilite în Ghidul Solicitantului?</w:t>
            </w:r>
          </w:p>
        </w:tc>
        <w:tc>
          <w:tcPr>
            <w:tcW w:w="1188" w:type="pct"/>
            <w:vAlign w:val="center"/>
          </w:tcPr>
          <w:p w14:paraId="40A8284B" w14:textId="77777777" w:rsidR="00D32343" w:rsidRPr="001656DD" w:rsidRDefault="00982300" w:rsidP="00A93E5C">
            <w:pPr>
              <w:spacing w:after="120" w:line="276" w:lineRule="auto"/>
              <w:jc w:val="both"/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TrebuchetMS"/>
                <w:color w:val="0F243E" w:themeColor="text2" w:themeShade="80"/>
                <w:sz w:val="22"/>
                <w:szCs w:val="22"/>
                <w:lang w:val="ro-RO" w:eastAsia="ro-RO"/>
              </w:rPr>
              <w:t xml:space="preserve">Solicitantul și partenerii fac parte din categoriile de beneficiari eligibili </w:t>
            </w:r>
            <w:proofErr w:type="spellStart"/>
            <w:r w:rsidRPr="001656DD">
              <w:rPr>
                <w:rFonts w:ascii="Trebuchet MS" w:hAnsi="Trebuchet MS" w:cs="TrebuchetMS"/>
                <w:color w:val="0F243E" w:themeColor="text2" w:themeShade="80"/>
                <w:sz w:val="22"/>
                <w:szCs w:val="22"/>
                <w:lang w:val="ro-RO" w:eastAsia="ro-RO"/>
              </w:rPr>
              <w:t>menţionate</w:t>
            </w:r>
            <w:proofErr w:type="spellEnd"/>
            <w:r w:rsidRPr="001656DD">
              <w:rPr>
                <w:rFonts w:ascii="Trebuchet MS" w:hAnsi="Trebuchet MS" w:cs="TrebuchetMS"/>
                <w:color w:val="0F243E" w:themeColor="text2" w:themeShade="80"/>
                <w:sz w:val="22"/>
                <w:szCs w:val="22"/>
                <w:lang w:val="ro-RO" w:eastAsia="ro-RO"/>
              </w:rPr>
              <w:t xml:space="preserve"> în Ghidul Solicitantului - Condiții Specifice.</w:t>
            </w:r>
          </w:p>
        </w:tc>
        <w:tc>
          <w:tcPr>
            <w:tcW w:w="2095" w:type="pct"/>
          </w:tcPr>
          <w:p w14:paraId="483F5AAD" w14:textId="4649E5BB" w:rsidR="00D32343" w:rsidRPr="001656DD" w:rsidRDefault="001656DD" w:rsidP="007D2F0B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eastAsia="ro-RO"/>
              </w:rPr>
            </w:pPr>
            <w:r w:rsidRPr="001656DD">
              <w:rPr>
                <w:rFonts w:ascii="Trebuchet MS" w:hAnsi="Trebuchet MS" w:cs="TrebuchetMS"/>
                <w:color w:val="0F243E" w:themeColor="text2" w:themeShade="80"/>
                <w:sz w:val="22"/>
                <w:szCs w:val="22"/>
                <w:lang w:val="ro-RO" w:eastAsia="ro-RO"/>
              </w:rPr>
              <w:t>-  Solicitantul face parte din categoriile de beneficiari eligibili menționate în Ghidul Solicitantului - Condiții Specifice.</w:t>
            </w:r>
          </w:p>
        </w:tc>
      </w:tr>
      <w:tr w:rsidR="001656DD" w:rsidRPr="001656DD" w14:paraId="6E970866" w14:textId="77777777" w:rsidTr="007D2F0B">
        <w:tc>
          <w:tcPr>
            <w:tcW w:w="2905" w:type="pct"/>
            <w:gridSpan w:val="3"/>
            <w:vAlign w:val="center"/>
          </w:tcPr>
          <w:p w14:paraId="5C3BA75A" w14:textId="77777777" w:rsidR="00D32343" w:rsidRPr="001656DD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b/>
                <w:i/>
                <w:color w:val="0F243E" w:themeColor="text2" w:themeShade="80"/>
                <w:sz w:val="22"/>
                <w:szCs w:val="22"/>
                <w:lang w:val="ro-RO"/>
              </w:rPr>
              <w:t xml:space="preserve">Eligibilitatea proiectului </w:t>
            </w:r>
          </w:p>
        </w:tc>
        <w:tc>
          <w:tcPr>
            <w:tcW w:w="2095" w:type="pct"/>
          </w:tcPr>
          <w:p w14:paraId="77901C35" w14:textId="77777777" w:rsidR="00D32343" w:rsidRPr="001656DD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1656DD" w:rsidRPr="001656DD" w14:paraId="24803E3C" w14:textId="77777777" w:rsidTr="007D2F0B">
        <w:tc>
          <w:tcPr>
            <w:tcW w:w="253" w:type="pct"/>
            <w:vAlign w:val="center"/>
          </w:tcPr>
          <w:p w14:paraId="332A27AB" w14:textId="77777777" w:rsidR="00D32343" w:rsidRPr="001656DD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14:paraId="73409346" w14:textId="77777777" w:rsidR="00D32343" w:rsidRPr="001656DD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Proiectul propus spre finanțare (</w:t>
            </w:r>
            <w:r w:rsidR="005C2D54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activitățile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proiectului, cu </w:t>
            </w:r>
            <w:r w:rsidR="005C2D54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aceleași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rezultate, pentru </w:t>
            </w:r>
            <w:r w:rsidR="005C2D54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aceiași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membri ai grupului </w:t>
            </w:r>
            <w:r w:rsidR="005C2D54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țintă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) a mai beneficiat de sprijin financiar din fonduri nerambursabile (</w:t>
            </w:r>
            <w:r w:rsidR="005C2D54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dublă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finanțare)?</w:t>
            </w:r>
            <w:r w:rsidRPr="001656DD">
              <w:rPr>
                <w:rStyle w:val="FootnoteReference"/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footnoteReference w:id="1"/>
            </w:r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 xml:space="preserve"> </w:t>
            </w:r>
          </w:p>
          <w:p w14:paraId="0F5EE190" w14:textId="77777777" w:rsidR="003243C0" w:rsidRPr="001656DD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14:paraId="460011FA" w14:textId="77777777" w:rsidR="00D32343" w:rsidRPr="001656DD" w:rsidRDefault="00982300" w:rsidP="00A93E5C">
            <w:pPr>
              <w:spacing w:after="120"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Se verifică dacă solicitantul a bifat NU in cererea de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finantare</w:t>
            </w:r>
            <w:proofErr w:type="spellEnd"/>
          </w:p>
        </w:tc>
        <w:tc>
          <w:tcPr>
            <w:tcW w:w="2095" w:type="pct"/>
          </w:tcPr>
          <w:p w14:paraId="0BBE744C" w14:textId="77777777" w:rsidR="003243C0" w:rsidRPr="001656DD" w:rsidRDefault="00BF4B7E" w:rsidP="003243C0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Se verifică dacă solicitantul a declarat în Declarația privind evitarea dublei finanțări</w:t>
            </w:r>
            <w:r w:rsidR="00D80DE3"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, </w:t>
            </w:r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că  proiectul propus spre finanțare (activitățile proiectului, cu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aceleaşi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rezultate, pentru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aceiaşi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membri ai grupului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ţintă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) NU a mai beneficiat de sprijin financiar din fonduri nerambursabile.</w:t>
            </w:r>
          </w:p>
        </w:tc>
      </w:tr>
      <w:tr w:rsidR="001656DD" w:rsidRPr="001656DD" w14:paraId="58303F62" w14:textId="77777777" w:rsidTr="007D2F0B">
        <w:tc>
          <w:tcPr>
            <w:tcW w:w="253" w:type="pct"/>
            <w:vAlign w:val="center"/>
          </w:tcPr>
          <w:p w14:paraId="66E0473B" w14:textId="77777777" w:rsidR="00D32343" w:rsidRPr="001656DD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5</w:t>
            </w:r>
          </w:p>
        </w:tc>
        <w:tc>
          <w:tcPr>
            <w:tcW w:w="1464" w:type="pct"/>
            <w:vAlign w:val="center"/>
          </w:tcPr>
          <w:p w14:paraId="45198E8E" w14:textId="77777777" w:rsidR="00D32343" w:rsidRPr="001656DD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r w:rsidR="005C2D54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dacă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toate </w:t>
            </w:r>
            <w:r w:rsidR="005C2D54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plățile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aferente au fost efectuate de </w:t>
            </w:r>
            <w:r w:rsidR="005C2D54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către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beneficiar (art. 65, alin (6) din Reg. 1303/2013)?</w:t>
            </w:r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 xml:space="preserve"> </w:t>
            </w:r>
          </w:p>
          <w:p w14:paraId="007EBB8D" w14:textId="77777777" w:rsidR="009612FD" w:rsidRPr="001656DD" w:rsidRDefault="009612F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14:paraId="18EDBB29" w14:textId="3D310BFA" w:rsidR="00D32343" w:rsidRPr="001656DD" w:rsidRDefault="00D860B2" w:rsidP="00554B2E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Se verifică Cererea de finanțare</w:t>
            </w:r>
          </w:p>
        </w:tc>
        <w:tc>
          <w:tcPr>
            <w:tcW w:w="2095" w:type="pct"/>
          </w:tcPr>
          <w:p w14:paraId="7331CA71" w14:textId="7BBBBFE0" w:rsidR="00D32343" w:rsidRPr="001656DD" w:rsidRDefault="00D860B2" w:rsidP="00172B35">
            <w:pPr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Solicitantul a bifat NU în cererea de finanțare (în vederea respectării dispozițiilor art. 65 alin. (6) din Reg. CE nr.</w:t>
            </w:r>
            <w:r w:rsidRPr="001656DD">
              <w:rPr>
                <w:color w:val="0F243E" w:themeColor="text2" w:themeShade="80"/>
              </w:rPr>
              <w:t xml:space="preserve"> 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1303/2013 privind eligibilitatea cheltuielilor) sau, dacă a bifat și DEMARAT, solicitantul a precizat că a respectat legislația relevantă aplicabilă proiectului, conform art.125, alin 3, lit. (e) din Reg. CE nr. 1303/2013.</w:t>
            </w:r>
          </w:p>
        </w:tc>
      </w:tr>
      <w:tr w:rsidR="001656DD" w:rsidRPr="001656DD" w14:paraId="4F9CD80C" w14:textId="77777777" w:rsidTr="007D2F0B">
        <w:tc>
          <w:tcPr>
            <w:tcW w:w="253" w:type="pct"/>
            <w:vAlign w:val="center"/>
          </w:tcPr>
          <w:p w14:paraId="4DFC6B3E" w14:textId="77777777" w:rsidR="00D32343" w:rsidRPr="001656DD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6</w:t>
            </w:r>
          </w:p>
        </w:tc>
        <w:tc>
          <w:tcPr>
            <w:tcW w:w="1464" w:type="pct"/>
            <w:vAlign w:val="center"/>
          </w:tcPr>
          <w:p w14:paraId="67AAFECA" w14:textId="77777777" w:rsidR="00D32343" w:rsidRPr="001656DD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Proiectul se </w:t>
            </w:r>
            <w:r w:rsidR="00245D69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încadrează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- Condiții Specifice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?</w:t>
            </w:r>
            <w:r w:rsidR="00DC5169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</w:t>
            </w:r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25FD8059" w14:textId="77777777" w:rsidR="00FD21C5" w:rsidRPr="001656DD" w:rsidRDefault="00FD21C5" w:rsidP="00554B2E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09319E91" w14:textId="77777777" w:rsidR="00D32343" w:rsidRPr="001656DD" w:rsidRDefault="00554B2E" w:rsidP="00DC5169">
            <w:pPr>
              <w:spacing w:before="120" w:after="120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Proiectul este încadrat în axa prioritară, prioritatea de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investiţii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, obiectivul specific, indicatorii de realizare imediată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şi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de rezultat și măsurile relevante, conform POCU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şi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Ghidului Solicitantului.</w:t>
            </w:r>
          </w:p>
        </w:tc>
      </w:tr>
      <w:tr w:rsidR="001656DD" w:rsidRPr="001656DD" w14:paraId="2AFD7816" w14:textId="77777777" w:rsidTr="00A93E5C">
        <w:trPr>
          <w:trHeight w:val="1522"/>
        </w:trPr>
        <w:tc>
          <w:tcPr>
            <w:tcW w:w="253" w:type="pct"/>
            <w:vAlign w:val="center"/>
          </w:tcPr>
          <w:p w14:paraId="4F19271D" w14:textId="77777777" w:rsidR="00D32343" w:rsidRPr="001656DD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lastRenderedPageBreak/>
              <w:t>7</w:t>
            </w:r>
          </w:p>
        </w:tc>
        <w:tc>
          <w:tcPr>
            <w:tcW w:w="1464" w:type="pct"/>
            <w:vAlign w:val="center"/>
          </w:tcPr>
          <w:p w14:paraId="12FE6CD0" w14:textId="77777777" w:rsidR="00D32343" w:rsidRPr="001656DD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Grupul </w:t>
            </w:r>
            <w:r w:rsidR="00245D69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țintă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este eligibil?</w:t>
            </w:r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45A122E8" w14:textId="77777777" w:rsidR="00D32343" w:rsidRPr="001656DD" w:rsidRDefault="0088025D" w:rsidP="00A93E5C">
            <w:pPr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Grupul țintă al proiectului  se </w:t>
            </w:r>
            <w:proofErr w:type="spellStart"/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încadreaza</w:t>
            </w:r>
            <w:proofErr w:type="spellEnd"/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în categoriile eligibile menționate în Ghidul Solicitantului - Condiții Specifice.</w:t>
            </w:r>
          </w:p>
        </w:tc>
        <w:tc>
          <w:tcPr>
            <w:tcW w:w="2095" w:type="pct"/>
          </w:tcPr>
          <w:p w14:paraId="3E8BF1EC" w14:textId="597BA02F" w:rsidR="004B111D" w:rsidRPr="001656DD" w:rsidRDefault="004B111D" w:rsidP="004B111D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color w:val="0F243E" w:themeColor="text2" w:themeShade="80"/>
              </w:rPr>
              <w:t xml:space="preserve"> </w:t>
            </w:r>
            <w:r w:rsidRPr="001656DD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Se va verifica dacă:</w:t>
            </w:r>
          </w:p>
          <w:p w14:paraId="0BA09840" w14:textId="5F064BA7" w:rsidR="003E18E0" w:rsidRPr="001656DD" w:rsidRDefault="004B111D" w:rsidP="004B111D">
            <w:pPr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 xml:space="preserve">Grupul țintă al proiectului se încadrează în categoriile eligibile menționate în </w:t>
            </w:r>
            <w:r w:rsidR="001656DD" w:rsidRPr="001656DD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Ghidul Solicitantului - Condiții Specifice.</w:t>
            </w:r>
          </w:p>
        </w:tc>
      </w:tr>
      <w:tr w:rsidR="001656DD" w:rsidRPr="001656DD" w14:paraId="41C1767C" w14:textId="77777777" w:rsidTr="007D2F0B">
        <w:tc>
          <w:tcPr>
            <w:tcW w:w="253" w:type="pct"/>
            <w:vAlign w:val="center"/>
          </w:tcPr>
          <w:p w14:paraId="58F4BD9B" w14:textId="77777777" w:rsidR="00FD21C5" w:rsidRPr="001656DD" w:rsidRDefault="00FD21C5" w:rsidP="00FD21C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8</w:t>
            </w:r>
          </w:p>
        </w:tc>
        <w:tc>
          <w:tcPr>
            <w:tcW w:w="1464" w:type="pct"/>
            <w:vAlign w:val="center"/>
          </w:tcPr>
          <w:p w14:paraId="401AC670" w14:textId="77777777" w:rsidR="00FD21C5" w:rsidRPr="001656DD" w:rsidRDefault="00FD21C5" w:rsidP="00FD21C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Valoarea proiectului, contribuția financiară solicitată, valoarea subcontractării și durata acestuia se încadrează în limitele stabilite în Ghidul Solicitantului - </w:t>
            </w:r>
            <w:r w:rsidRPr="001656DD"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val="ro-RO"/>
              </w:rPr>
              <w:t>Condiții Specifice</w:t>
            </w:r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?</w:t>
            </w:r>
            <w:r w:rsidRPr="001656DD">
              <w:rPr>
                <w:rFonts w:ascii="Trebuchet MS" w:eastAsia="Calibri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5E3B9C70" w14:textId="77777777" w:rsidR="00FD21C5" w:rsidRPr="001656DD" w:rsidRDefault="00FD21C5" w:rsidP="00554B2E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2FED6827" w14:textId="77777777" w:rsidR="00FD21C5" w:rsidRPr="001656DD" w:rsidRDefault="00554B2E" w:rsidP="00FD21C5">
            <w:pPr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Valoarea totală a proiectului, (daca este cazul) si valoarea asistenței financiare nerambursabile solicitate se </w:t>
            </w:r>
            <w:proofErr w:type="spellStart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inscriu</w:t>
            </w:r>
            <w:proofErr w:type="spellEnd"/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în limitele stabilite în Ghidul Solicitantului - Condiții Specifice.</w:t>
            </w:r>
          </w:p>
        </w:tc>
      </w:tr>
      <w:tr w:rsidR="001656DD" w:rsidRPr="001656DD" w14:paraId="2D144B2F" w14:textId="77777777" w:rsidTr="007D2F0B">
        <w:tc>
          <w:tcPr>
            <w:tcW w:w="253" w:type="pct"/>
            <w:vAlign w:val="center"/>
          </w:tcPr>
          <w:p w14:paraId="35EB567A" w14:textId="77777777" w:rsidR="00D32343" w:rsidRPr="001656DD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9</w:t>
            </w:r>
          </w:p>
        </w:tc>
        <w:tc>
          <w:tcPr>
            <w:tcW w:w="1464" w:type="pct"/>
            <w:vAlign w:val="center"/>
          </w:tcPr>
          <w:p w14:paraId="20616196" w14:textId="77777777" w:rsidR="00D32343" w:rsidRPr="001656DD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188" w:type="pct"/>
            <w:vAlign w:val="center"/>
          </w:tcPr>
          <w:p w14:paraId="52E9741C" w14:textId="77777777" w:rsidR="00D32343" w:rsidRPr="001656DD" w:rsidRDefault="00D32343" w:rsidP="00554B2E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61182DFC" w14:textId="77777777" w:rsidR="002048D1" w:rsidRPr="001656DD" w:rsidRDefault="002048D1" w:rsidP="002048D1">
            <w:pPr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</w:p>
          <w:p w14:paraId="77A91840" w14:textId="77777777" w:rsidR="00D32343" w:rsidRPr="001656DD" w:rsidRDefault="002048D1" w:rsidP="002048D1">
            <w:pPr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Durata de implementare a proiectului se încadrează în durata maximă prevăzută în Ghidul solicitantului - condiții specifice.</w:t>
            </w:r>
          </w:p>
        </w:tc>
      </w:tr>
      <w:tr w:rsidR="001656DD" w:rsidRPr="001656DD" w14:paraId="7A6767FC" w14:textId="77777777" w:rsidTr="007D2F0B">
        <w:tc>
          <w:tcPr>
            <w:tcW w:w="253" w:type="pct"/>
            <w:vAlign w:val="center"/>
          </w:tcPr>
          <w:p w14:paraId="7E950E55" w14:textId="77777777" w:rsidR="00D32343" w:rsidRPr="001656DD" w:rsidRDefault="00E74527" w:rsidP="00E74527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14:paraId="3753BEED" w14:textId="77777777" w:rsidR="00D32343" w:rsidRPr="001656DD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val="ro-RO"/>
              </w:rPr>
              <w:t>Cheltuielile prevăzute respectă prevederile legale privind eligibilitatea?</w:t>
            </w:r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22D0613E" w14:textId="77777777" w:rsidR="00D32343" w:rsidRPr="001656DD" w:rsidRDefault="00D32343" w:rsidP="00554B2E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2F2F4484" w14:textId="77777777" w:rsidR="000C3DAE" w:rsidRPr="001656DD" w:rsidRDefault="000C3DAE" w:rsidP="00AE380A">
            <w:pPr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Cheltuielile prevăzute la capitolul de cheltuieli eligibile trebuie să fie conforme cu cele prevăzute în Ghidul Solicitantului - Condiții Specifice.</w:t>
            </w:r>
          </w:p>
          <w:p w14:paraId="4364503F" w14:textId="0F912FD8" w:rsidR="00554B2E" w:rsidRPr="001656DD" w:rsidRDefault="00554B2E" w:rsidP="00AE380A">
            <w:pPr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1656DD" w:rsidRPr="001656DD" w14:paraId="7A5E87BB" w14:textId="77777777" w:rsidTr="007D2F0B">
        <w:tc>
          <w:tcPr>
            <w:tcW w:w="253" w:type="pct"/>
            <w:vAlign w:val="center"/>
          </w:tcPr>
          <w:p w14:paraId="6C0D2C59" w14:textId="77777777" w:rsidR="00D32343" w:rsidRPr="001656DD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14:paraId="506B51A2" w14:textId="77777777" w:rsidR="00D32343" w:rsidRPr="001656DD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Bugetul proiectului respectă rata de </w:t>
            </w:r>
            <w:proofErr w:type="spellStart"/>
            <w:r w:rsidRPr="001656DD"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val="ro-RO"/>
              </w:rPr>
              <w:t>cofinanţare</w:t>
            </w:r>
            <w:proofErr w:type="spellEnd"/>
            <w:r w:rsidRPr="001656DD"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  <w:vAlign w:val="center"/>
          </w:tcPr>
          <w:p w14:paraId="4027A512" w14:textId="77777777" w:rsidR="00D32343" w:rsidRPr="001656DD" w:rsidRDefault="00D32343" w:rsidP="00F8130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Bugetul </w:t>
            </w:r>
            <w:r w:rsidR="00122C7C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respectă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rata de </w:t>
            </w:r>
            <w:r w:rsidR="00122C7C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cofinanțare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(FSE/ILMT, buget național și contribuție proprie).</w:t>
            </w:r>
          </w:p>
        </w:tc>
        <w:tc>
          <w:tcPr>
            <w:tcW w:w="2095" w:type="pct"/>
          </w:tcPr>
          <w:p w14:paraId="4BF4689F" w14:textId="77777777" w:rsidR="00D32343" w:rsidRPr="001656DD" w:rsidRDefault="00D32343" w:rsidP="002E4072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Se va verifica respectarea </w:t>
            </w:r>
            <w:r w:rsidR="00122C7C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contribuției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proprie minima pentru </w:t>
            </w:r>
            <w:r w:rsidR="00B16340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solicitant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, conform prevederilor </w:t>
            </w:r>
            <w:r w:rsidR="002E4072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G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hidului </w:t>
            </w:r>
            <w:r w:rsidR="002E4072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Solicitantului -C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ondi</w:t>
            </w:r>
            <w:r w:rsidR="002E4072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ț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ii </w:t>
            </w:r>
            <w:r w:rsidR="002E4072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S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pecifice.</w:t>
            </w:r>
          </w:p>
        </w:tc>
      </w:tr>
      <w:tr w:rsidR="001656DD" w:rsidRPr="001656DD" w14:paraId="093949AB" w14:textId="77777777" w:rsidTr="007D2F0B">
        <w:tc>
          <w:tcPr>
            <w:tcW w:w="253" w:type="pct"/>
            <w:vAlign w:val="center"/>
          </w:tcPr>
          <w:p w14:paraId="178A0753" w14:textId="77777777" w:rsidR="00D32343" w:rsidRPr="001656DD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12</w:t>
            </w:r>
          </w:p>
        </w:tc>
        <w:tc>
          <w:tcPr>
            <w:tcW w:w="1464" w:type="pct"/>
            <w:vAlign w:val="center"/>
          </w:tcPr>
          <w:p w14:paraId="2547AE55" w14:textId="77777777" w:rsidR="00D32343" w:rsidRPr="001656DD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activitățile</w:t>
            </w: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obligatorii?</w:t>
            </w:r>
            <w:r w:rsidRPr="001656DD">
              <w:rPr>
                <w:rFonts w:ascii="Trebuchet MS" w:hAnsi="Trebuchet MS" w:cs="Arial"/>
                <w:b/>
                <w:color w:val="0F243E" w:themeColor="text2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49F7A8AD" w14:textId="77777777" w:rsidR="00D32343" w:rsidRPr="001656DD" w:rsidRDefault="00D32343" w:rsidP="00554B2E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3D0EDEB9" w14:textId="77777777" w:rsidR="00537E8A" w:rsidRPr="001656DD" w:rsidRDefault="00554B2E" w:rsidP="00537E8A">
            <w:pPr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>Proiectul trebuie să cuprindă cel puțin activitățile obligatorii, prevăzute în Ghidul Solicitantului.</w:t>
            </w:r>
          </w:p>
          <w:p w14:paraId="7E832BEE" w14:textId="77777777" w:rsidR="00122C7C" w:rsidRPr="001656DD" w:rsidRDefault="00122C7C" w:rsidP="00172B35">
            <w:pPr>
              <w:spacing w:line="276" w:lineRule="auto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highlight w:val="yellow"/>
                <w:lang w:val="ro-RO"/>
              </w:rPr>
            </w:pPr>
          </w:p>
        </w:tc>
      </w:tr>
      <w:tr w:rsidR="001656DD" w:rsidRPr="001656DD" w14:paraId="1F2FBB14" w14:textId="77777777" w:rsidTr="007D2F0B">
        <w:tc>
          <w:tcPr>
            <w:tcW w:w="253" w:type="pct"/>
            <w:vAlign w:val="center"/>
          </w:tcPr>
          <w:p w14:paraId="75CBD080" w14:textId="77777777" w:rsidR="000D1166" w:rsidRPr="001656DD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14:paraId="270AC539" w14:textId="77777777" w:rsidR="000D1166" w:rsidRPr="001656DD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188" w:type="pct"/>
            <w:vAlign w:val="center"/>
          </w:tcPr>
          <w:p w14:paraId="633CE5F6" w14:textId="77777777" w:rsidR="000D1166" w:rsidRPr="001656DD" w:rsidRDefault="000D1166" w:rsidP="00554B2E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  <w:vAlign w:val="center"/>
          </w:tcPr>
          <w:p w14:paraId="324EE86F" w14:textId="77777777" w:rsidR="00554B2E" w:rsidRPr="001656DD" w:rsidRDefault="00554B2E" w:rsidP="00A01DCF">
            <w:pPr>
              <w:spacing w:before="120" w:after="120"/>
              <w:ind w:left="10"/>
              <w:jc w:val="both"/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Se va verifica daca solicitantul a descris în cererea de finanțare masurile minime de informare si publicitate prevăzute documentul </w:t>
            </w:r>
            <w:proofErr w:type="spellStart"/>
            <w:r w:rsidR="00A93E5C" w:rsidRPr="001656DD">
              <w:rPr>
                <w:rFonts w:ascii="Trebuchet MS" w:hAnsi="Trebuchet MS" w:cs="Arial"/>
                <w:i/>
                <w:color w:val="0F243E" w:themeColor="text2" w:themeShade="80"/>
                <w:sz w:val="22"/>
                <w:szCs w:val="22"/>
                <w:lang w:val="ro-RO"/>
              </w:rPr>
              <w:t>Orientari</w:t>
            </w:r>
            <w:proofErr w:type="spellEnd"/>
            <w:r w:rsidR="00A93E5C" w:rsidRPr="001656DD">
              <w:rPr>
                <w:rFonts w:ascii="Trebuchet MS" w:hAnsi="Trebuchet MS" w:cs="Arial"/>
                <w:i/>
                <w:color w:val="0F243E" w:themeColor="text2" w:themeShade="80"/>
                <w:sz w:val="22"/>
                <w:szCs w:val="22"/>
                <w:lang w:val="ro-RO"/>
              </w:rPr>
              <w:t xml:space="preserve"> privind accesarea finanțărilor în cadrul Programului Operațional Capital Uman 2014-2020</w:t>
            </w:r>
            <w:r w:rsidR="00A93E5C" w:rsidRPr="001656DD">
              <w:rPr>
                <w:rFonts w:ascii="Trebuchet MS" w:hAnsi="Trebuchet MS" w:cs="Arial"/>
                <w:color w:val="0F243E" w:themeColor="text2" w:themeShade="80"/>
                <w:sz w:val="22"/>
                <w:szCs w:val="22"/>
                <w:lang w:val="ro-RO"/>
              </w:rPr>
              <w:t xml:space="preserve"> – noiembrie 2018. </w:t>
            </w:r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 xml:space="preserve">Masurile minime de </w:t>
            </w:r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lastRenderedPageBreak/>
              <w:t xml:space="preserve">informare si publicitate care trebuie descrise în cererea de </w:t>
            </w:r>
            <w:proofErr w:type="spellStart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>finantare</w:t>
            </w:r>
            <w:proofErr w:type="spellEnd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 xml:space="preserve"> sunt:</w:t>
            </w:r>
          </w:p>
          <w:p w14:paraId="1837AA8A" w14:textId="77777777" w:rsidR="00554B2E" w:rsidRPr="001656DD" w:rsidRDefault="00554B2E" w:rsidP="00554B2E">
            <w:pPr>
              <w:spacing w:before="120" w:after="120"/>
              <w:jc w:val="both"/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 xml:space="preserve">- Asigurarea </w:t>
            </w:r>
            <w:proofErr w:type="spellStart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>vizibilitatii</w:t>
            </w:r>
            <w:proofErr w:type="spellEnd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 xml:space="preserve"> proiectului (prin expunerea unui afiș) la sediul de implementare a proiectului;</w:t>
            </w:r>
          </w:p>
          <w:p w14:paraId="2A963D29" w14:textId="77777777" w:rsidR="00554B2E" w:rsidRPr="001656DD" w:rsidRDefault="00554B2E" w:rsidP="00554B2E">
            <w:pPr>
              <w:spacing w:before="120" w:after="120"/>
              <w:jc w:val="both"/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 xml:space="preserve">- Beneficiarii se asigura ca cei care participa în cadrul proiectului sunt </w:t>
            </w:r>
            <w:proofErr w:type="spellStart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>informati</w:t>
            </w:r>
            <w:proofErr w:type="spellEnd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 xml:space="preserve"> în mod specific cu privire la sprijinul acordat prin FSE+ILMT;</w:t>
            </w:r>
          </w:p>
          <w:p w14:paraId="60B51D3E" w14:textId="77777777" w:rsidR="000D1166" w:rsidRPr="001656DD" w:rsidRDefault="00554B2E" w:rsidP="00554B2E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0F243E" w:themeColor="text2" w:themeShade="80"/>
                <w:sz w:val="22"/>
                <w:szCs w:val="22"/>
                <w:lang w:val="ro-RO"/>
              </w:rPr>
            </w:pPr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 xml:space="preserve">- Orice fel de documente referitoare la implementarea proiectelor si publicate pentru public sau </w:t>
            </w:r>
            <w:proofErr w:type="spellStart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>participanti</w:t>
            </w:r>
            <w:proofErr w:type="spellEnd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 xml:space="preserve">, inclusiv certificatele de prezenta sau alte certificate, trebuie sa </w:t>
            </w:r>
            <w:proofErr w:type="spellStart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>includa</w:t>
            </w:r>
            <w:proofErr w:type="spellEnd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 xml:space="preserve"> o </w:t>
            </w:r>
            <w:proofErr w:type="spellStart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>mentiune</w:t>
            </w:r>
            <w:proofErr w:type="spellEnd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 xml:space="preserve"> cu privire la faptul ca </w:t>
            </w:r>
            <w:proofErr w:type="spellStart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>operatiunea</w:t>
            </w:r>
            <w:proofErr w:type="spellEnd"/>
            <w:r w:rsidRPr="001656DD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  <w:lang w:val="ro-RO"/>
              </w:rPr>
              <w:t xml:space="preserve"> a fost sprijinita în cadrul FSE+ILMT.</w:t>
            </w:r>
          </w:p>
        </w:tc>
      </w:tr>
    </w:tbl>
    <w:p w14:paraId="0528A2CB" w14:textId="77777777" w:rsidR="000D1166" w:rsidRPr="001656DD" w:rsidRDefault="000D1166" w:rsidP="000D1166">
      <w:pPr>
        <w:spacing w:line="276" w:lineRule="auto"/>
        <w:jc w:val="both"/>
        <w:rPr>
          <w:rFonts w:ascii="Trebuchet MS" w:eastAsia="Calibri" w:hAnsi="Trebuchet MS" w:cs="Arial"/>
          <w:b/>
          <w:color w:val="0F243E" w:themeColor="text2" w:themeShade="80"/>
          <w:sz w:val="22"/>
          <w:szCs w:val="22"/>
          <w:lang w:val="ro-RO"/>
        </w:rPr>
      </w:pPr>
      <w:r w:rsidRPr="001656DD">
        <w:rPr>
          <w:rFonts w:ascii="Trebuchet MS" w:eastAsia="Calibri" w:hAnsi="Trebuchet MS" w:cs="Arial"/>
          <w:b/>
          <w:color w:val="0F243E" w:themeColor="text2" w:themeShade="80"/>
          <w:sz w:val="22"/>
          <w:szCs w:val="22"/>
          <w:lang w:val="ro-RO"/>
        </w:rPr>
        <w:lastRenderedPageBreak/>
        <w:t>*Notă: În cazul în care oricare dintre criterii/subcriterii nu poate fi prelucrat de sistem, el va fi evaluat de către echipa de evaluare.</w:t>
      </w:r>
    </w:p>
    <w:p w14:paraId="02FA05E4" w14:textId="77777777" w:rsidR="00D32343" w:rsidRPr="001656DD" w:rsidRDefault="00D32343">
      <w:pPr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sectPr w:rsidR="00D32343" w:rsidRPr="001656DD" w:rsidSect="0029394C">
      <w:pgSz w:w="16838" w:h="11906" w:orient="landscape"/>
      <w:pgMar w:top="5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50F3E" w14:textId="77777777" w:rsidR="00306012" w:rsidRDefault="00306012" w:rsidP="00F81309">
      <w:r>
        <w:separator/>
      </w:r>
    </w:p>
  </w:endnote>
  <w:endnote w:type="continuationSeparator" w:id="0">
    <w:p w14:paraId="361DBD74" w14:textId="77777777" w:rsidR="00306012" w:rsidRDefault="00306012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01F0C" w14:textId="77777777" w:rsidR="00306012" w:rsidRDefault="00306012" w:rsidP="00F81309">
      <w:r>
        <w:separator/>
      </w:r>
    </w:p>
  </w:footnote>
  <w:footnote w:type="continuationSeparator" w:id="0">
    <w:p w14:paraId="3B467C9F" w14:textId="77777777" w:rsidR="00306012" w:rsidRDefault="00306012" w:rsidP="00F81309">
      <w:r>
        <w:continuationSeparator/>
      </w:r>
    </w:p>
  </w:footnote>
  <w:footnote w:id="1">
    <w:p w14:paraId="42AC028D" w14:textId="77777777" w:rsidR="00D32343" w:rsidRDefault="00D32343" w:rsidP="00F81309">
      <w:pPr>
        <w:pStyle w:val="ListParagraph"/>
        <w:ind w:left="142" w:hanging="142"/>
      </w:pPr>
      <w:r w:rsidRPr="00320AC8">
        <w:rPr>
          <w:rStyle w:val="FootnoteReference"/>
          <w:rFonts w:ascii="Calibri" w:hAnsi="Calibri" w:cs="Arial"/>
          <w:lang w:val="ro-RO"/>
        </w:rPr>
        <w:footnoteRef/>
      </w:r>
      <w:r w:rsidRPr="00320AC8">
        <w:rPr>
          <w:rStyle w:val="FootnoteReference"/>
          <w:rFonts w:ascii="Calibri" w:hAnsi="Calibri" w:cs="Arial"/>
          <w:lang w:val="ro-RO"/>
        </w:rPr>
        <w:t xml:space="preserve"> </w:t>
      </w:r>
      <w:r w:rsidRPr="00320AC8">
        <w:rPr>
          <w:rFonts w:ascii="Calibri" w:hAnsi="Calibri" w:cs="Arial"/>
          <w:lang w:val="ro-RO"/>
        </w:rPr>
        <w:t xml:space="preserve"> </w:t>
      </w:r>
      <w:proofErr w:type="spellStart"/>
      <w:r w:rsidRPr="00320AC8">
        <w:rPr>
          <w:sz w:val="18"/>
          <w:szCs w:val="18"/>
        </w:rPr>
        <w:t>Condiţiile</w:t>
      </w:r>
      <w:proofErr w:type="spellEnd"/>
      <w:r w:rsidRPr="00320AC8">
        <w:rPr>
          <w:sz w:val="18"/>
          <w:szCs w:val="18"/>
        </w:rPr>
        <w:t xml:space="preserve"> </w:t>
      </w:r>
      <w:proofErr w:type="spellStart"/>
      <w:r w:rsidRPr="00320AC8">
        <w:rPr>
          <w:sz w:val="18"/>
          <w:szCs w:val="18"/>
        </w:rPr>
        <w:t>trebuie</w:t>
      </w:r>
      <w:proofErr w:type="spellEnd"/>
      <w:r w:rsidRPr="00320AC8">
        <w:rPr>
          <w:sz w:val="18"/>
          <w:szCs w:val="18"/>
        </w:rPr>
        <w:t xml:space="preserve"> </w:t>
      </w:r>
      <w:proofErr w:type="spellStart"/>
      <w:r w:rsidRPr="00320AC8">
        <w:rPr>
          <w:sz w:val="18"/>
          <w:szCs w:val="18"/>
        </w:rPr>
        <w:t>îndeplinite</w:t>
      </w:r>
      <w:proofErr w:type="spellEnd"/>
      <w:r w:rsidRPr="00320AC8">
        <w:rPr>
          <w:sz w:val="18"/>
          <w:szCs w:val="18"/>
        </w:rPr>
        <w:t xml:space="preserve"> </w:t>
      </w:r>
      <w:proofErr w:type="spellStart"/>
      <w:r w:rsidRPr="00320AC8">
        <w:rPr>
          <w:sz w:val="18"/>
          <w:szCs w:val="18"/>
        </w:rPr>
        <w:t>cumulativ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. Solicitantul/beneficiarul trebuie să se asigure că </w:t>
      </w:r>
      <w:proofErr w:type="spellStart"/>
      <w:r w:rsidRPr="00320AC8">
        <w:rPr>
          <w:rFonts w:cs="Arial"/>
          <w:sz w:val="18"/>
          <w:szCs w:val="18"/>
          <w:lang w:val="ro-RO"/>
        </w:rPr>
        <w:t>participanţii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la </w:t>
      </w:r>
      <w:proofErr w:type="spellStart"/>
      <w:r w:rsidRPr="00320AC8">
        <w:rPr>
          <w:rFonts w:cs="Arial"/>
          <w:sz w:val="18"/>
          <w:szCs w:val="18"/>
          <w:lang w:val="ro-RO"/>
        </w:rPr>
        <w:t>operaţiuni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nu au reprezentat grup </w:t>
      </w:r>
      <w:proofErr w:type="spellStart"/>
      <w:r w:rsidRPr="00320AC8">
        <w:rPr>
          <w:rFonts w:cs="Arial"/>
          <w:sz w:val="18"/>
          <w:szCs w:val="18"/>
          <w:lang w:val="ro-RO"/>
        </w:rPr>
        <w:t>ţintă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pentru măsuri similare, </w:t>
      </w:r>
      <w:proofErr w:type="spellStart"/>
      <w:r w:rsidRPr="00320AC8">
        <w:rPr>
          <w:rFonts w:cs="Arial"/>
          <w:sz w:val="18"/>
          <w:szCs w:val="18"/>
          <w:lang w:val="ro-RO"/>
        </w:rPr>
        <w:t>cofinanţate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din fonduri nerambursabile. În cazul în care, în implementare, se constată încălcarea acestui criteriu, contractul de </w:t>
      </w:r>
      <w:proofErr w:type="spellStart"/>
      <w:r w:rsidRPr="00320AC8">
        <w:rPr>
          <w:rFonts w:cs="Arial"/>
          <w:sz w:val="18"/>
          <w:szCs w:val="18"/>
          <w:lang w:val="ro-RO"/>
        </w:rPr>
        <w:t>finanţare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va fi reziliat, conform prevederilor legale în vigoare.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5D33FE"/>
    <w:multiLevelType w:val="hybridMultilevel"/>
    <w:tmpl w:val="9528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55213687">
    <w:abstractNumId w:val="3"/>
  </w:num>
  <w:num w:numId="2" w16cid:durableId="1446584643">
    <w:abstractNumId w:val="6"/>
  </w:num>
  <w:num w:numId="3" w16cid:durableId="1613512741">
    <w:abstractNumId w:val="8"/>
  </w:num>
  <w:num w:numId="4" w16cid:durableId="1140540976">
    <w:abstractNumId w:val="0"/>
  </w:num>
  <w:num w:numId="5" w16cid:durableId="1943536000">
    <w:abstractNumId w:val="5"/>
  </w:num>
  <w:num w:numId="6" w16cid:durableId="686058737">
    <w:abstractNumId w:val="1"/>
  </w:num>
  <w:num w:numId="7" w16cid:durableId="1376198807">
    <w:abstractNumId w:val="7"/>
  </w:num>
  <w:num w:numId="8" w16cid:durableId="1108894861">
    <w:abstractNumId w:val="4"/>
  </w:num>
  <w:num w:numId="9" w16cid:durableId="431246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39D"/>
    <w:rsid w:val="00037A23"/>
    <w:rsid w:val="000451CD"/>
    <w:rsid w:val="0005248F"/>
    <w:rsid w:val="000661D0"/>
    <w:rsid w:val="000770A3"/>
    <w:rsid w:val="00083857"/>
    <w:rsid w:val="000C3DAE"/>
    <w:rsid w:val="000D1166"/>
    <w:rsid w:val="000D3FE3"/>
    <w:rsid w:val="00122C7C"/>
    <w:rsid w:val="00132DD8"/>
    <w:rsid w:val="001656DD"/>
    <w:rsid w:val="00172B35"/>
    <w:rsid w:val="00173A4F"/>
    <w:rsid w:val="00174745"/>
    <w:rsid w:val="00180C97"/>
    <w:rsid w:val="00193D91"/>
    <w:rsid w:val="001E65E4"/>
    <w:rsid w:val="001F577B"/>
    <w:rsid w:val="002020B8"/>
    <w:rsid w:val="002048D1"/>
    <w:rsid w:val="00220E87"/>
    <w:rsid w:val="002250C1"/>
    <w:rsid w:val="00245D69"/>
    <w:rsid w:val="0025739B"/>
    <w:rsid w:val="00270540"/>
    <w:rsid w:val="0029394C"/>
    <w:rsid w:val="00293E3D"/>
    <w:rsid w:val="002950E5"/>
    <w:rsid w:val="002A2260"/>
    <w:rsid w:val="002B716B"/>
    <w:rsid w:val="002E4072"/>
    <w:rsid w:val="0030207A"/>
    <w:rsid w:val="00306012"/>
    <w:rsid w:val="00320AC8"/>
    <w:rsid w:val="0032288E"/>
    <w:rsid w:val="003243C0"/>
    <w:rsid w:val="003278A0"/>
    <w:rsid w:val="003529EE"/>
    <w:rsid w:val="00353589"/>
    <w:rsid w:val="003676A5"/>
    <w:rsid w:val="00382CC9"/>
    <w:rsid w:val="00394F10"/>
    <w:rsid w:val="003E18E0"/>
    <w:rsid w:val="003E5104"/>
    <w:rsid w:val="003F46D3"/>
    <w:rsid w:val="0042092E"/>
    <w:rsid w:val="0047495D"/>
    <w:rsid w:val="004B111D"/>
    <w:rsid w:val="004B6853"/>
    <w:rsid w:val="004D4F0F"/>
    <w:rsid w:val="004D6B6A"/>
    <w:rsid w:val="004F497D"/>
    <w:rsid w:val="00537E8A"/>
    <w:rsid w:val="005433EF"/>
    <w:rsid w:val="00554B2E"/>
    <w:rsid w:val="00597BE6"/>
    <w:rsid w:val="005C1D73"/>
    <w:rsid w:val="005C2D54"/>
    <w:rsid w:val="005D0A0B"/>
    <w:rsid w:val="00615992"/>
    <w:rsid w:val="00625DE6"/>
    <w:rsid w:val="00631BAD"/>
    <w:rsid w:val="006419B3"/>
    <w:rsid w:val="006C02EE"/>
    <w:rsid w:val="006E37CF"/>
    <w:rsid w:val="00710328"/>
    <w:rsid w:val="0074306D"/>
    <w:rsid w:val="007760BD"/>
    <w:rsid w:val="0078163B"/>
    <w:rsid w:val="007857DE"/>
    <w:rsid w:val="007901C1"/>
    <w:rsid w:val="0079706F"/>
    <w:rsid w:val="007A31D7"/>
    <w:rsid w:val="007A439D"/>
    <w:rsid w:val="007D2F0B"/>
    <w:rsid w:val="007E29B8"/>
    <w:rsid w:val="008357A2"/>
    <w:rsid w:val="00840062"/>
    <w:rsid w:val="008508CF"/>
    <w:rsid w:val="0086674A"/>
    <w:rsid w:val="008760B1"/>
    <w:rsid w:val="0088025D"/>
    <w:rsid w:val="008835BF"/>
    <w:rsid w:val="008A3353"/>
    <w:rsid w:val="008D477D"/>
    <w:rsid w:val="008E37AE"/>
    <w:rsid w:val="009155BF"/>
    <w:rsid w:val="00921D20"/>
    <w:rsid w:val="00926327"/>
    <w:rsid w:val="00940671"/>
    <w:rsid w:val="00954FDE"/>
    <w:rsid w:val="009612FD"/>
    <w:rsid w:val="00973A5B"/>
    <w:rsid w:val="00982300"/>
    <w:rsid w:val="009A7D72"/>
    <w:rsid w:val="009C596C"/>
    <w:rsid w:val="009F0808"/>
    <w:rsid w:val="009F1D9C"/>
    <w:rsid w:val="009F319B"/>
    <w:rsid w:val="00A01DCF"/>
    <w:rsid w:val="00A21364"/>
    <w:rsid w:val="00A25821"/>
    <w:rsid w:val="00A61596"/>
    <w:rsid w:val="00A93E5C"/>
    <w:rsid w:val="00A9504D"/>
    <w:rsid w:val="00AA2F16"/>
    <w:rsid w:val="00AA7226"/>
    <w:rsid w:val="00AB1E45"/>
    <w:rsid w:val="00AE29D8"/>
    <w:rsid w:val="00AE380A"/>
    <w:rsid w:val="00B16340"/>
    <w:rsid w:val="00B26F53"/>
    <w:rsid w:val="00B35631"/>
    <w:rsid w:val="00B46D5C"/>
    <w:rsid w:val="00B62250"/>
    <w:rsid w:val="00B94F01"/>
    <w:rsid w:val="00BF0A14"/>
    <w:rsid w:val="00BF1A8D"/>
    <w:rsid w:val="00BF4B7E"/>
    <w:rsid w:val="00C005F3"/>
    <w:rsid w:val="00C00D3F"/>
    <w:rsid w:val="00C40E17"/>
    <w:rsid w:val="00C564B1"/>
    <w:rsid w:val="00C57234"/>
    <w:rsid w:val="00C77BB4"/>
    <w:rsid w:val="00C917DE"/>
    <w:rsid w:val="00CD3D5E"/>
    <w:rsid w:val="00CF5819"/>
    <w:rsid w:val="00D033DA"/>
    <w:rsid w:val="00D21BCB"/>
    <w:rsid w:val="00D3165C"/>
    <w:rsid w:val="00D32343"/>
    <w:rsid w:val="00D80DE3"/>
    <w:rsid w:val="00D85F72"/>
    <w:rsid w:val="00D860B2"/>
    <w:rsid w:val="00DB53AB"/>
    <w:rsid w:val="00DC4B2C"/>
    <w:rsid w:val="00DC5169"/>
    <w:rsid w:val="00DD1195"/>
    <w:rsid w:val="00E03DD3"/>
    <w:rsid w:val="00E10D8A"/>
    <w:rsid w:val="00E10E76"/>
    <w:rsid w:val="00E30551"/>
    <w:rsid w:val="00E73AFA"/>
    <w:rsid w:val="00E74527"/>
    <w:rsid w:val="00E805AA"/>
    <w:rsid w:val="00E9542E"/>
    <w:rsid w:val="00EB199E"/>
    <w:rsid w:val="00EE57A7"/>
    <w:rsid w:val="00EE5CD0"/>
    <w:rsid w:val="00F07156"/>
    <w:rsid w:val="00F106AB"/>
    <w:rsid w:val="00F26950"/>
    <w:rsid w:val="00F3130E"/>
    <w:rsid w:val="00F403B2"/>
    <w:rsid w:val="00F441BF"/>
    <w:rsid w:val="00F60E96"/>
    <w:rsid w:val="00F6653D"/>
    <w:rsid w:val="00F81309"/>
    <w:rsid w:val="00F91857"/>
    <w:rsid w:val="00FA3E01"/>
    <w:rsid w:val="00FB5B9B"/>
    <w:rsid w:val="00FC6C3B"/>
    <w:rsid w:val="00FC6CB9"/>
    <w:rsid w:val="00FD21C5"/>
    <w:rsid w:val="00FD2259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FCA94A"/>
  <w15:docId w15:val="{687D51F7-7035-4117-B3BB-8972E051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4Char">
    <w:name w:val="Heading 4 Char"/>
    <w:link w:val="Heading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locked/>
    <w:rsid w:val="00F81309"/>
    <w:rPr>
      <w:rFonts w:ascii="Trebuchet MS" w:eastAsia="MS Mincho" w:hAnsi="Trebuchet MS"/>
      <w:sz w:val="20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  <w:style w:type="paragraph" w:styleId="Revision">
    <w:name w:val="Revision"/>
    <w:hidden/>
    <w:uiPriority w:val="99"/>
    <w:semiHidden/>
    <w:rsid w:val="00D033DA"/>
    <w:rPr>
      <w:rFonts w:ascii="Times New Roman" w:eastAsia="Times New Roman" w:hAnsi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BD824-26D3-413E-B7B4-D69AACE8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957</Words>
  <Characters>5557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Popa</dc:creator>
  <cp:keywords/>
  <dc:description/>
  <cp:lastModifiedBy>Daniel Chitoi</cp:lastModifiedBy>
  <cp:revision>63</cp:revision>
  <dcterms:created xsi:type="dcterms:W3CDTF">2017-06-26T10:57:00Z</dcterms:created>
  <dcterms:modified xsi:type="dcterms:W3CDTF">2022-09-05T12:44:00Z</dcterms:modified>
</cp:coreProperties>
</file>